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2E0" w14:textId="6F3219CC" w:rsidR="008B0D47" w:rsidRPr="006F0529" w:rsidRDefault="008965F9"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O</w:t>
      </w:r>
      <w:r w:rsidR="009E652C" w:rsidRPr="006F0529">
        <w:rPr>
          <w:rFonts w:ascii="Arial Black" w:hAnsi="Arial Black" w:cs="Arial"/>
          <w:b/>
          <w:bCs/>
          <w:color w:val="53B475"/>
        </w:rPr>
        <w:t xml:space="preserve">ffre </w:t>
      </w:r>
      <w:r w:rsidR="00853EF2" w:rsidRPr="006F0529">
        <w:rPr>
          <w:rFonts w:ascii="Arial Black" w:hAnsi="Arial Black" w:cs="Arial"/>
          <w:b/>
          <w:bCs/>
          <w:color w:val="53B475"/>
        </w:rPr>
        <w:t>d</w:t>
      </w:r>
      <w:r w:rsidR="008B0D47" w:rsidRPr="006F0529">
        <w:rPr>
          <w:rFonts w:ascii="Arial Black" w:hAnsi="Arial Black" w:cs="Arial"/>
          <w:b/>
          <w:bCs/>
          <w:color w:val="53B475"/>
        </w:rPr>
        <w:t>’emploi</w:t>
      </w:r>
      <w:r w:rsidR="00853EF2" w:rsidRPr="006F0529">
        <w:rPr>
          <w:rFonts w:ascii="Arial Black" w:hAnsi="Arial Black" w:cs="Arial"/>
          <w:b/>
          <w:bCs/>
          <w:color w:val="53B475"/>
        </w:rPr>
        <w:t xml:space="preserve"> : </w:t>
      </w:r>
    </w:p>
    <w:p w14:paraId="27D80081" w14:textId="16ADA39F" w:rsidR="008B0D47" w:rsidRPr="006F0529" w:rsidRDefault="00635B20"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Ingénieur</w:t>
      </w:r>
      <w:r w:rsidR="008B0D47" w:rsidRPr="006F0529">
        <w:rPr>
          <w:rFonts w:ascii="Arial Black" w:hAnsi="Arial Black" w:cs="Arial"/>
          <w:b/>
          <w:bCs/>
          <w:color w:val="53B475"/>
        </w:rPr>
        <w:t>(e)</w:t>
      </w:r>
      <w:r w:rsidR="00D25490">
        <w:rPr>
          <w:rFonts w:ascii="Arial Black" w:hAnsi="Arial Black" w:cs="Arial"/>
          <w:b/>
          <w:bCs/>
          <w:color w:val="53B475"/>
        </w:rPr>
        <w:t xml:space="preserve"> Conseil</w:t>
      </w:r>
      <w:r w:rsidR="008B0D47" w:rsidRPr="006F0529">
        <w:rPr>
          <w:rFonts w:ascii="Arial Black" w:hAnsi="Arial Black" w:cs="Arial"/>
          <w:b/>
          <w:bCs/>
          <w:color w:val="53B475"/>
        </w:rPr>
        <w:t xml:space="preserve"> </w:t>
      </w:r>
      <w:r>
        <w:rPr>
          <w:rFonts w:ascii="Arial Black" w:hAnsi="Arial Black" w:cs="Arial"/>
          <w:b/>
          <w:bCs/>
          <w:color w:val="53B475"/>
        </w:rPr>
        <w:t>Energie</w:t>
      </w:r>
      <w:r w:rsidR="00E14F0B">
        <w:rPr>
          <w:rFonts w:ascii="Arial Black" w:hAnsi="Arial Black" w:cs="Arial"/>
          <w:b/>
          <w:bCs/>
          <w:color w:val="53B475"/>
        </w:rPr>
        <w:t xml:space="preserve"> &amp;</w:t>
      </w:r>
      <w:r>
        <w:rPr>
          <w:rFonts w:ascii="Arial Black" w:hAnsi="Arial Black" w:cs="Arial"/>
          <w:b/>
          <w:bCs/>
          <w:color w:val="53B475"/>
        </w:rPr>
        <w:t xml:space="preserve"> Carbone, </w:t>
      </w:r>
      <w:r w:rsidR="00E14F0B">
        <w:rPr>
          <w:rFonts w:ascii="Arial Black" w:hAnsi="Arial Black" w:cs="Arial"/>
          <w:b/>
          <w:bCs/>
          <w:color w:val="53B475"/>
        </w:rPr>
        <w:t>Construction</w:t>
      </w:r>
    </w:p>
    <w:p w14:paraId="1A47AD74" w14:textId="1ACD6BE6" w:rsidR="00B0230F" w:rsidRPr="006F0529" w:rsidRDefault="00EA72B8" w:rsidP="006F0529">
      <w:pPr>
        <w:tabs>
          <w:tab w:val="left" w:pos="1843"/>
        </w:tabs>
        <w:spacing w:before="120" w:after="120"/>
        <w:jc w:val="both"/>
        <w:rPr>
          <w:rFonts w:ascii="Arial Black" w:hAnsi="Arial Black" w:cs="Arial"/>
          <w:b/>
          <w:bCs/>
          <w:color w:val="53B475"/>
        </w:rPr>
      </w:pPr>
      <w:r w:rsidRPr="006F0529">
        <w:rPr>
          <w:rFonts w:ascii="Arial Black" w:hAnsi="Arial Black" w:cs="Arial"/>
          <w:b/>
          <w:bCs/>
          <w:color w:val="53B475"/>
        </w:rPr>
        <w:t xml:space="preserve">Agence </w:t>
      </w:r>
      <w:r w:rsidR="00060F16" w:rsidRPr="006F0529">
        <w:rPr>
          <w:rFonts w:ascii="Arial Black" w:hAnsi="Arial Black" w:cs="Arial"/>
          <w:b/>
          <w:bCs/>
          <w:color w:val="53B475"/>
        </w:rPr>
        <w:t>Ile-de-France</w:t>
      </w:r>
      <w:r w:rsidR="00CE4D19" w:rsidRPr="006F0529">
        <w:rPr>
          <w:rFonts w:ascii="Arial Black" w:hAnsi="Arial Black" w:cs="Arial"/>
          <w:b/>
          <w:bCs/>
          <w:color w:val="53B475"/>
        </w:rPr>
        <w:t>,</w:t>
      </w:r>
      <w:r w:rsidRPr="006F0529">
        <w:rPr>
          <w:rFonts w:ascii="Arial Black" w:hAnsi="Arial Black" w:cs="Arial"/>
          <w:b/>
          <w:bCs/>
          <w:color w:val="53B475"/>
        </w:rPr>
        <w:t xml:space="preserve"> </w:t>
      </w:r>
      <w:r w:rsidR="0035722B" w:rsidRPr="006F0529">
        <w:rPr>
          <w:rFonts w:ascii="Arial Black" w:hAnsi="Arial Black" w:cs="Arial"/>
          <w:b/>
          <w:bCs/>
          <w:color w:val="53B475"/>
        </w:rPr>
        <w:t xml:space="preserve">dès </w:t>
      </w:r>
      <w:r w:rsidR="007F4EE5" w:rsidRPr="006F0529">
        <w:rPr>
          <w:rFonts w:ascii="Arial Black" w:hAnsi="Arial Black" w:cs="Arial"/>
          <w:b/>
          <w:bCs/>
          <w:color w:val="53B475"/>
        </w:rPr>
        <w:t>que possible</w:t>
      </w:r>
    </w:p>
    <w:p w14:paraId="0D2CC00D" w14:textId="09EE85C9" w:rsidR="006F0529" w:rsidRPr="006F0529" w:rsidRDefault="008965F9" w:rsidP="006F0529">
      <w:pPr>
        <w:pStyle w:val="NormalWeb"/>
        <w:spacing w:before="0" w:beforeAutospacing="0" w:after="150" w:afterAutospacing="0"/>
        <w:rPr>
          <w:rFonts w:ascii="Arial Black" w:hAnsi="Arial Black" w:cs="Arial"/>
          <w:b/>
          <w:bCs/>
          <w:color w:val="53B475"/>
        </w:rPr>
      </w:pPr>
      <w:r>
        <w:rPr>
          <w:rFonts w:ascii="Arial Black" w:hAnsi="Arial Black" w:cs="Arial"/>
          <w:color w:val="53B475"/>
        </w:rPr>
        <w:t>CDI avec t</w:t>
      </w:r>
      <w:r w:rsidR="00EA72B8" w:rsidRPr="006F0529">
        <w:rPr>
          <w:rFonts w:ascii="Arial Black" w:hAnsi="Arial Black" w:cs="Arial"/>
          <w:color w:val="53B475"/>
        </w:rPr>
        <w:t>élétravail partiel possible</w:t>
      </w:r>
    </w:p>
    <w:p w14:paraId="1B0A91F2" w14:textId="2D416D66" w:rsidR="007F4EE5" w:rsidRDefault="00635B20" w:rsidP="006F0529">
      <w:pPr>
        <w:pStyle w:val="NormalWeb"/>
        <w:spacing w:before="0" w:beforeAutospacing="0" w:after="150" w:afterAutospacing="0"/>
        <w:rPr>
          <w:rFonts w:ascii="Arial Black" w:hAnsi="Arial Black" w:cs="Arial"/>
          <w:b/>
          <w:bCs/>
          <w:color w:val="53B475"/>
        </w:rPr>
      </w:pPr>
      <w:r>
        <w:rPr>
          <w:rFonts w:ascii="Arial Black" w:hAnsi="Arial Black" w:cs="Arial"/>
          <w:b/>
          <w:bCs/>
          <w:color w:val="53B475"/>
        </w:rPr>
        <w:t>Bac + 5</w:t>
      </w:r>
      <w:r w:rsidR="0075164F">
        <w:rPr>
          <w:rFonts w:ascii="Arial Black" w:hAnsi="Arial Black" w:cs="Arial"/>
          <w:b/>
          <w:bCs/>
          <w:color w:val="53B475"/>
        </w:rPr>
        <w:t xml:space="preserve"> avec expérience similaire</w:t>
      </w:r>
    </w:p>
    <w:p w14:paraId="569F4178" w14:textId="77777777" w:rsidR="00E14F0B" w:rsidRDefault="00E14F0B" w:rsidP="006F0529">
      <w:pPr>
        <w:pStyle w:val="NormalWeb"/>
        <w:spacing w:before="0" w:beforeAutospacing="0" w:after="150" w:afterAutospacing="0"/>
        <w:jc w:val="both"/>
        <w:rPr>
          <w:rFonts w:ascii="Arial" w:hAnsi="Arial" w:cs="Arial"/>
          <w:b/>
          <w:bCs/>
          <w:color w:val="2E3172"/>
          <w:sz w:val="20"/>
          <w:szCs w:val="20"/>
        </w:rPr>
      </w:pPr>
    </w:p>
    <w:p w14:paraId="50E785C0" w14:textId="415435C3" w:rsidR="007F4EE5" w:rsidRPr="006F0529" w:rsidRDefault="007F4EE5" w:rsidP="006F0529">
      <w:pPr>
        <w:pStyle w:val="NormalWeb"/>
        <w:spacing w:before="0" w:beforeAutospacing="0" w:after="150" w:afterAutospacing="0"/>
        <w:jc w:val="both"/>
        <w:rPr>
          <w:rFonts w:ascii="Arial" w:hAnsi="Arial" w:cs="Arial"/>
          <w:color w:val="2E3172"/>
          <w:sz w:val="20"/>
          <w:szCs w:val="20"/>
        </w:rPr>
      </w:pPr>
      <w:r w:rsidRPr="006F0529">
        <w:rPr>
          <w:rFonts w:ascii="Arial" w:hAnsi="Arial" w:cs="Arial"/>
          <w:b/>
          <w:bCs/>
          <w:color w:val="2E3172"/>
          <w:sz w:val="20"/>
          <w:szCs w:val="20"/>
        </w:rPr>
        <w:t>A propos de l'offre d</w:t>
      </w:r>
      <w:r w:rsidR="008B0D47" w:rsidRPr="006F0529">
        <w:rPr>
          <w:rFonts w:ascii="Arial" w:hAnsi="Arial" w:cs="Arial"/>
          <w:b/>
          <w:bCs/>
          <w:color w:val="2E3172"/>
          <w:sz w:val="20"/>
          <w:szCs w:val="20"/>
        </w:rPr>
        <w:t>’emploi</w:t>
      </w:r>
      <w:r w:rsidRPr="006F0529">
        <w:rPr>
          <w:rFonts w:ascii="Arial" w:hAnsi="Arial" w:cs="Arial"/>
          <w:b/>
          <w:bCs/>
          <w:color w:val="2E3172"/>
          <w:sz w:val="20"/>
          <w:szCs w:val="20"/>
        </w:rPr>
        <w:t> </w:t>
      </w:r>
    </w:p>
    <w:p w14:paraId="32569C74" w14:textId="77777777" w:rsidR="00D14A46" w:rsidRDefault="00635B20" w:rsidP="006F0529">
      <w:pPr>
        <w:spacing w:after="150"/>
        <w:jc w:val="both"/>
        <w:rPr>
          <w:rFonts w:ascii="Arial" w:eastAsia="Times New Roman" w:hAnsi="Arial" w:cs="Arial"/>
          <w:color w:val="333333"/>
          <w:sz w:val="20"/>
          <w:szCs w:val="20"/>
          <w:lang w:eastAsia="fr-FR"/>
        </w:rPr>
      </w:pPr>
      <w:r w:rsidRPr="00635B20">
        <w:rPr>
          <w:rFonts w:ascii="Arial" w:eastAsia="Times New Roman" w:hAnsi="Arial" w:cs="Arial"/>
          <w:color w:val="333333"/>
          <w:sz w:val="20"/>
          <w:szCs w:val="20"/>
          <w:lang w:eastAsia="fr-FR"/>
        </w:rPr>
        <w:t xml:space="preserve">Au sein du pôle </w:t>
      </w:r>
      <w:r w:rsidR="00E14F0B">
        <w:rPr>
          <w:rFonts w:ascii="Arial" w:eastAsia="Times New Roman" w:hAnsi="Arial" w:cs="Arial"/>
          <w:color w:val="333333"/>
          <w:sz w:val="20"/>
          <w:szCs w:val="20"/>
          <w:lang w:eastAsia="fr-FR"/>
        </w:rPr>
        <w:t>Construction</w:t>
      </w:r>
      <w:r>
        <w:rPr>
          <w:rFonts w:ascii="Arial" w:eastAsia="Times New Roman" w:hAnsi="Arial" w:cs="Arial"/>
          <w:color w:val="333333"/>
          <w:sz w:val="20"/>
          <w:szCs w:val="20"/>
          <w:lang w:eastAsia="fr-FR"/>
        </w:rPr>
        <w:t xml:space="preserve"> à Paris (18</w:t>
      </w:r>
      <w:r w:rsidRPr="005C54BA">
        <w:rPr>
          <w:rFonts w:ascii="Arial" w:eastAsia="Times New Roman" w:hAnsi="Arial" w:cs="Arial"/>
          <w:color w:val="333333"/>
          <w:sz w:val="20"/>
          <w:szCs w:val="20"/>
          <w:lang w:eastAsia="fr-FR"/>
        </w:rPr>
        <w:t>ème métro Marcadet ou 14ème, proche Gare Montparnasse)</w:t>
      </w:r>
      <w:r w:rsidRPr="00635B20">
        <w:rPr>
          <w:rFonts w:ascii="Arial" w:eastAsia="Times New Roman" w:hAnsi="Arial" w:cs="Arial"/>
          <w:color w:val="333333"/>
          <w:sz w:val="20"/>
          <w:szCs w:val="20"/>
          <w:lang w:eastAsia="fr-FR"/>
        </w:rPr>
        <w:t xml:space="preserve">, en lien avec le responsable de l’activité </w:t>
      </w:r>
      <w:r w:rsidR="00E14F0B">
        <w:rPr>
          <w:rFonts w:ascii="Arial" w:eastAsia="Times New Roman" w:hAnsi="Arial" w:cs="Arial"/>
          <w:color w:val="333333"/>
          <w:sz w:val="20"/>
          <w:szCs w:val="20"/>
          <w:lang w:eastAsia="fr-FR"/>
        </w:rPr>
        <w:t>Conseil</w:t>
      </w:r>
      <w:r w:rsidRPr="00635B20">
        <w:rPr>
          <w:rFonts w:ascii="Arial" w:eastAsia="Times New Roman" w:hAnsi="Arial" w:cs="Arial"/>
          <w:color w:val="333333"/>
          <w:sz w:val="20"/>
          <w:szCs w:val="20"/>
          <w:lang w:eastAsia="fr-FR"/>
        </w:rPr>
        <w:t xml:space="preserve">, vous </w:t>
      </w:r>
      <w:r w:rsidR="00E14F0B">
        <w:rPr>
          <w:rFonts w:ascii="Arial" w:eastAsia="Times New Roman" w:hAnsi="Arial" w:cs="Arial"/>
          <w:color w:val="333333"/>
          <w:sz w:val="20"/>
          <w:szCs w:val="20"/>
          <w:lang w:eastAsia="fr-FR"/>
        </w:rPr>
        <w:t xml:space="preserve">réalisez des missions de conseil pour des acteurs variés sur des thématiques innovantes. </w:t>
      </w:r>
      <w:r w:rsidR="005C54BA" w:rsidRPr="005C54BA">
        <w:rPr>
          <w:rFonts w:ascii="Arial" w:eastAsia="Times New Roman" w:hAnsi="Arial" w:cs="Arial"/>
          <w:color w:val="333333"/>
          <w:sz w:val="20"/>
          <w:szCs w:val="20"/>
          <w:lang w:eastAsia="fr-FR"/>
        </w:rPr>
        <w:t>Vous travaillez sur des projets passionnants ayant un fort niveau d’ambition environnementale.</w:t>
      </w:r>
    </w:p>
    <w:p w14:paraId="4DF3F028" w14:textId="77777777" w:rsidR="00D14A46" w:rsidRPr="00D14A46" w:rsidRDefault="00D14A46" w:rsidP="006F0529">
      <w:pPr>
        <w:spacing w:after="150"/>
        <w:jc w:val="both"/>
        <w:rPr>
          <w:rFonts w:ascii="Arial" w:eastAsia="Times New Roman" w:hAnsi="Arial" w:cs="Arial"/>
          <w:color w:val="333333"/>
          <w:sz w:val="2"/>
          <w:szCs w:val="2"/>
          <w:lang w:eastAsia="fr-FR"/>
        </w:rPr>
      </w:pPr>
    </w:p>
    <w:p w14:paraId="56EE2A58" w14:textId="3FBCED9A"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Secteurs d’intervention </w:t>
      </w:r>
    </w:p>
    <w:p w14:paraId="2F40B05D" w14:textId="77777777" w:rsidR="00E14F0B" w:rsidRDefault="00635B20" w:rsidP="006F0529">
      <w:pPr>
        <w:autoSpaceDE w:val="0"/>
        <w:autoSpaceDN w:val="0"/>
        <w:adjustRightInd w:val="0"/>
        <w:spacing w:line="276" w:lineRule="auto"/>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L</w:t>
      </w:r>
      <w:r w:rsidRPr="00635B20">
        <w:rPr>
          <w:rFonts w:ascii="Arial" w:eastAsia="Times New Roman" w:hAnsi="Arial" w:cs="Arial"/>
          <w:color w:val="333333"/>
          <w:sz w:val="20"/>
          <w:szCs w:val="20"/>
          <w:lang w:eastAsia="fr-FR"/>
        </w:rPr>
        <w:t>ogements collectifs</w:t>
      </w:r>
      <w:r>
        <w:rPr>
          <w:rFonts w:ascii="Arial" w:eastAsia="Times New Roman" w:hAnsi="Arial" w:cs="Arial"/>
          <w:color w:val="333333"/>
          <w:sz w:val="20"/>
          <w:szCs w:val="20"/>
          <w:lang w:eastAsia="fr-FR"/>
        </w:rPr>
        <w:t xml:space="preserve"> &amp;</w:t>
      </w:r>
      <w:r w:rsidRPr="00635B20">
        <w:rPr>
          <w:rFonts w:ascii="Arial" w:eastAsia="Times New Roman" w:hAnsi="Arial" w:cs="Arial"/>
          <w:color w:val="333333"/>
          <w:sz w:val="20"/>
          <w:szCs w:val="20"/>
          <w:lang w:eastAsia="fr-FR"/>
        </w:rPr>
        <w:t xml:space="preserve"> tertiaire</w:t>
      </w:r>
      <w:r>
        <w:rPr>
          <w:rFonts w:ascii="Arial" w:eastAsia="Times New Roman" w:hAnsi="Arial" w:cs="Arial"/>
          <w:color w:val="333333"/>
          <w:sz w:val="20"/>
          <w:szCs w:val="20"/>
          <w:lang w:eastAsia="fr-FR"/>
        </w:rPr>
        <w:t xml:space="preserve">, </w:t>
      </w:r>
      <w:r w:rsidRPr="00635B20">
        <w:rPr>
          <w:rFonts w:ascii="Arial" w:eastAsia="Times New Roman" w:hAnsi="Arial" w:cs="Arial"/>
          <w:color w:val="333333"/>
          <w:sz w:val="20"/>
          <w:szCs w:val="20"/>
          <w:lang w:eastAsia="fr-FR"/>
        </w:rPr>
        <w:t xml:space="preserve">public </w:t>
      </w:r>
      <w:r>
        <w:rPr>
          <w:rFonts w:ascii="Arial" w:eastAsia="Times New Roman" w:hAnsi="Arial" w:cs="Arial"/>
          <w:color w:val="333333"/>
          <w:sz w:val="20"/>
          <w:szCs w:val="20"/>
          <w:lang w:eastAsia="fr-FR"/>
        </w:rPr>
        <w:t>&amp;</w:t>
      </w:r>
      <w:r w:rsidRPr="00635B20">
        <w:rPr>
          <w:rFonts w:ascii="Arial" w:eastAsia="Times New Roman" w:hAnsi="Arial" w:cs="Arial"/>
          <w:color w:val="333333"/>
          <w:sz w:val="20"/>
          <w:szCs w:val="20"/>
          <w:lang w:eastAsia="fr-FR"/>
        </w:rPr>
        <w:t xml:space="preserve"> privé, projets passionnants, où le niveau d’ambition environnementale est élevé.</w:t>
      </w:r>
    </w:p>
    <w:p w14:paraId="62E19906" w14:textId="77777777" w:rsidR="00E14F0B" w:rsidRDefault="00E14F0B"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C657C78" w14:textId="4867145B" w:rsidR="007F4EE5" w:rsidRDefault="007F4EE5" w:rsidP="006F0529">
      <w:pPr>
        <w:autoSpaceDE w:val="0"/>
        <w:autoSpaceDN w:val="0"/>
        <w:adjustRightInd w:val="0"/>
        <w:spacing w:line="276" w:lineRule="auto"/>
        <w:jc w:val="both"/>
        <w:rPr>
          <w:rFonts w:ascii="Arial" w:eastAsia="Times New Roman" w:hAnsi="Arial" w:cs="Arial"/>
          <w:b/>
          <w:bCs/>
          <w:color w:val="2E3172"/>
          <w:sz w:val="20"/>
          <w:szCs w:val="20"/>
          <w:lang w:eastAsia="fr-FR"/>
        </w:rPr>
      </w:pPr>
      <w:r w:rsidRPr="006F0529">
        <w:rPr>
          <w:rFonts w:ascii="Arial" w:eastAsia="Times New Roman" w:hAnsi="Arial" w:cs="Arial"/>
          <w:b/>
          <w:bCs/>
          <w:color w:val="2E3172"/>
          <w:sz w:val="20"/>
          <w:szCs w:val="20"/>
          <w:lang w:eastAsia="fr-FR"/>
        </w:rPr>
        <w:t>Vos missions </w:t>
      </w:r>
    </w:p>
    <w:p w14:paraId="45263316" w14:textId="6939E0A3" w:rsidR="00E14F0B" w:rsidRPr="00E14F0B" w:rsidRDefault="00E14F0B" w:rsidP="00E14F0B">
      <w:pPr>
        <w:tabs>
          <w:tab w:val="left" w:pos="1843"/>
        </w:tabs>
        <w:spacing w:before="60"/>
        <w:rPr>
          <w:rFonts w:ascii="Arial" w:hAnsi="Arial" w:cs="Arial"/>
          <w:sz w:val="20"/>
          <w:szCs w:val="20"/>
        </w:rPr>
      </w:pPr>
      <w:r w:rsidRPr="00E14F0B">
        <w:rPr>
          <w:rFonts w:ascii="Arial" w:hAnsi="Arial" w:cs="Arial"/>
          <w:sz w:val="20"/>
          <w:szCs w:val="20"/>
        </w:rPr>
        <w:t>Vous réalisez :</w:t>
      </w:r>
    </w:p>
    <w:p w14:paraId="6582B2D3"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 xml:space="preserve">Des études pour les représentants de filières (ex : UICB, AFPAC, USH…), les pouvoirs publics ou des énergéticiens (EDF, GRDF) pour les accompagner sur les sujets énergie, carbone et confort d’été. </w:t>
      </w:r>
    </w:p>
    <w:p w14:paraId="62132EB4"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Des études pour des industriels producteurs de solutions dédiées au bâtiment (enveloppe thermique ou équipements CVC), dans le but d’évaluer/comparer leurs performances de leur solution (enveloppe thermique ou CVC), de les accompagner dans leur appropriation des sujets énergie-carbone et d’appuyer leur pole recherche et développement dans la conception de solutions innovantes ;</w:t>
      </w:r>
    </w:p>
    <w:p w14:paraId="14F3985E"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 xml:space="preserve">La rédaction de guides à l’attention des filières, tel que celui réalisé récemment pour le compte de l’AFPAC (consultable via ce </w:t>
      </w:r>
      <w:hyperlink r:id="rId7" w:history="1">
        <w:r w:rsidRPr="00E14F0B">
          <w:rPr>
            <w:rStyle w:val="Lienhypertexte"/>
            <w:rFonts w:ascii="Arial" w:hAnsi="Arial" w:cs="Arial"/>
            <w:sz w:val="20"/>
            <w:szCs w:val="20"/>
          </w:rPr>
          <w:t>lien</w:t>
        </w:r>
      </w:hyperlink>
      <w:r w:rsidRPr="00E14F0B">
        <w:rPr>
          <w:rFonts w:ascii="Arial" w:hAnsi="Arial" w:cs="Arial"/>
          <w:sz w:val="20"/>
          <w:szCs w:val="20"/>
        </w:rPr>
        <w:t>) ;</w:t>
      </w:r>
    </w:p>
    <w:p w14:paraId="602913FB"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Des outils pour répondre à des besoins spécifiques (observatoire énergie-carbone de projet, outil d’analyse de cycle de vie simplifié, modélisation du fonctionnement de PAC…) ;</w:t>
      </w:r>
    </w:p>
    <w:p w14:paraId="22F0691D"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Des missions d’accompagnement de maitres d’ouvrages dans la définition de leur stratégie de décarbonation ou d’amélioration de la résilience de leurs projets ;</w:t>
      </w:r>
    </w:p>
    <w:p w14:paraId="7BFD4AB5" w14:textId="77777777" w:rsidR="00E14F0B" w:rsidRP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 xml:space="preserve">Des études techniques associées au processus d’optimisation environnementale et énergétique de projet immobilier ambitieux (STD, ACV, études énergétiques, labellisation Passivhaus...) ; </w:t>
      </w:r>
    </w:p>
    <w:p w14:paraId="1FF61EC0" w14:textId="77777777" w:rsidR="00E14F0B" w:rsidRDefault="00E14F0B" w:rsidP="00E14F0B">
      <w:pPr>
        <w:pStyle w:val="Paragraphedeliste"/>
        <w:numPr>
          <w:ilvl w:val="0"/>
          <w:numId w:val="22"/>
        </w:numPr>
        <w:tabs>
          <w:tab w:val="left" w:pos="708"/>
          <w:tab w:val="left" w:pos="5102"/>
        </w:tabs>
        <w:autoSpaceDE w:val="0"/>
        <w:autoSpaceDN w:val="0"/>
        <w:adjustRightInd w:val="0"/>
        <w:spacing w:before="60" w:line="276" w:lineRule="auto"/>
        <w:ind w:left="709" w:hanging="357"/>
        <w:contextualSpacing w:val="0"/>
        <w:jc w:val="both"/>
        <w:rPr>
          <w:rFonts w:ascii="Arial" w:hAnsi="Arial" w:cs="Arial"/>
          <w:sz w:val="20"/>
          <w:szCs w:val="20"/>
        </w:rPr>
      </w:pPr>
      <w:r w:rsidRPr="00E14F0B">
        <w:rPr>
          <w:rFonts w:ascii="Arial" w:hAnsi="Arial" w:cs="Arial"/>
          <w:sz w:val="20"/>
          <w:szCs w:val="20"/>
        </w:rPr>
        <w:t>Des dossiers « Titre V réseau de chaleur » qui intègre la modélisation de la production de chaleur et des besoins du parc immobilier alimenté pour justifier la performance environnementale du réseau dans les réglementations telle que la RE2020 ;</w:t>
      </w:r>
    </w:p>
    <w:p w14:paraId="2E150DEF" w14:textId="77777777" w:rsidR="00E14F0B" w:rsidRDefault="00E14F0B" w:rsidP="00E14F0B">
      <w:pPr>
        <w:tabs>
          <w:tab w:val="left" w:pos="708"/>
          <w:tab w:val="left" w:pos="5102"/>
        </w:tabs>
        <w:autoSpaceDE w:val="0"/>
        <w:autoSpaceDN w:val="0"/>
        <w:adjustRightInd w:val="0"/>
        <w:spacing w:before="60" w:line="276" w:lineRule="auto"/>
        <w:jc w:val="both"/>
        <w:rPr>
          <w:rFonts w:ascii="Arial" w:hAnsi="Arial" w:cs="Arial"/>
          <w:sz w:val="20"/>
          <w:szCs w:val="20"/>
        </w:rPr>
      </w:pPr>
    </w:p>
    <w:p w14:paraId="7D641FCC" w14:textId="7A6702B5" w:rsidR="00E14F0B" w:rsidRPr="00E14F0B" w:rsidRDefault="00E14F0B" w:rsidP="00E14F0B">
      <w:pPr>
        <w:tabs>
          <w:tab w:val="left" w:pos="708"/>
          <w:tab w:val="left" w:pos="5102"/>
        </w:tabs>
        <w:autoSpaceDE w:val="0"/>
        <w:autoSpaceDN w:val="0"/>
        <w:adjustRightInd w:val="0"/>
        <w:spacing w:before="60" w:line="276" w:lineRule="auto"/>
        <w:jc w:val="both"/>
        <w:rPr>
          <w:rFonts w:ascii="Arial" w:hAnsi="Arial" w:cs="Arial"/>
          <w:sz w:val="20"/>
          <w:szCs w:val="20"/>
        </w:rPr>
      </w:pPr>
      <w:r w:rsidRPr="00E14F0B">
        <w:rPr>
          <w:rFonts w:ascii="Arial" w:hAnsi="Arial" w:cs="Arial"/>
          <w:sz w:val="20"/>
          <w:szCs w:val="20"/>
        </w:rPr>
        <w:t>Vous évoluez dans une équipe expérimentée</w:t>
      </w:r>
      <w:r>
        <w:rPr>
          <w:rFonts w:ascii="Arial" w:hAnsi="Arial" w:cs="Arial"/>
          <w:sz w:val="20"/>
          <w:szCs w:val="20"/>
        </w:rPr>
        <w:t xml:space="preserve"> et</w:t>
      </w:r>
      <w:r w:rsidRPr="00E14F0B">
        <w:rPr>
          <w:rFonts w:ascii="Arial" w:hAnsi="Arial" w:cs="Arial"/>
          <w:sz w:val="20"/>
          <w:szCs w:val="20"/>
        </w:rPr>
        <w:t xml:space="preserve"> partagerez le fruit des missions innovantes réalisées aux équipes de conceptio</w:t>
      </w:r>
      <w:r>
        <w:rPr>
          <w:rFonts w:ascii="Arial" w:hAnsi="Arial" w:cs="Arial"/>
          <w:sz w:val="20"/>
          <w:szCs w:val="20"/>
        </w:rPr>
        <w:t>n</w:t>
      </w:r>
      <w:r w:rsidRPr="00E14F0B">
        <w:rPr>
          <w:rFonts w:ascii="Arial" w:hAnsi="Arial" w:cs="Arial"/>
          <w:sz w:val="20"/>
          <w:szCs w:val="20"/>
        </w:rPr>
        <w:t>.</w:t>
      </w:r>
    </w:p>
    <w:p w14:paraId="18E9E654" w14:textId="77777777" w:rsidR="00332A60" w:rsidRPr="00332A60" w:rsidRDefault="00332A60" w:rsidP="00332A60">
      <w:pPr>
        <w:widowControl w:val="0"/>
        <w:tabs>
          <w:tab w:val="left" w:pos="284"/>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325FD36A" w14:textId="2E7EEF9F"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Outils informatiques</w:t>
      </w:r>
    </w:p>
    <w:p w14:paraId="76BCB6E0" w14:textId="15FC4A3E" w:rsidR="00E14F0B" w:rsidRDefault="008B0D47"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r w:rsidRPr="006F0529">
        <w:rPr>
          <w:rFonts w:ascii="Arial" w:eastAsia="Times New Roman" w:hAnsi="Arial" w:cs="Arial"/>
          <w:kern w:val="1"/>
          <w:sz w:val="20"/>
          <w:szCs w:val="20"/>
          <w:lang w:eastAsia="fr-FR"/>
        </w:rPr>
        <w:t>Bonne ma</w:t>
      </w:r>
      <w:r w:rsidR="006F0529" w:rsidRPr="006F0529">
        <w:rPr>
          <w:rFonts w:ascii="Arial" w:eastAsia="Times New Roman" w:hAnsi="Arial" w:cs="Arial"/>
          <w:kern w:val="1"/>
          <w:sz w:val="20"/>
          <w:szCs w:val="20"/>
          <w:lang w:eastAsia="fr-FR"/>
        </w:rPr>
        <w:t>î</w:t>
      </w:r>
      <w:r w:rsidRPr="006F0529">
        <w:rPr>
          <w:rFonts w:ascii="Arial" w:eastAsia="Times New Roman" w:hAnsi="Arial" w:cs="Arial"/>
          <w:kern w:val="1"/>
          <w:sz w:val="20"/>
          <w:szCs w:val="20"/>
          <w:lang w:eastAsia="fr-FR"/>
        </w:rPr>
        <w:t xml:space="preserve">trise </w:t>
      </w:r>
      <w:r w:rsidR="00332A60">
        <w:rPr>
          <w:rFonts w:ascii="Arial" w:eastAsia="Times New Roman" w:hAnsi="Arial" w:cs="Arial"/>
          <w:kern w:val="1"/>
          <w:sz w:val="20"/>
          <w:szCs w:val="20"/>
          <w:lang w:eastAsia="fr-FR"/>
        </w:rPr>
        <w:t>du P</w:t>
      </w:r>
      <w:r w:rsidR="00332A60" w:rsidRPr="00332A60">
        <w:rPr>
          <w:rFonts w:ascii="Arial" w:eastAsia="Times New Roman" w:hAnsi="Arial" w:cs="Arial"/>
          <w:kern w:val="1"/>
          <w:sz w:val="20"/>
          <w:szCs w:val="20"/>
          <w:lang w:eastAsia="fr-FR"/>
        </w:rPr>
        <w:t xml:space="preserve">ack office, </w:t>
      </w:r>
      <w:r w:rsidR="00332A60">
        <w:rPr>
          <w:rFonts w:ascii="Arial" w:eastAsia="Times New Roman" w:hAnsi="Arial" w:cs="Arial"/>
          <w:kern w:val="1"/>
          <w:sz w:val="20"/>
          <w:szCs w:val="20"/>
          <w:lang w:eastAsia="fr-FR"/>
        </w:rPr>
        <w:t xml:space="preserve">du </w:t>
      </w:r>
      <w:r w:rsidR="00332A60" w:rsidRPr="00332A60">
        <w:rPr>
          <w:rFonts w:ascii="Arial" w:eastAsia="Times New Roman" w:hAnsi="Arial" w:cs="Arial"/>
          <w:kern w:val="1"/>
          <w:sz w:val="20"/>
          <w:szCs w:val="20"/>
          <w:lang w:eastAsia="fr-FR"/>
        </w:rPr>
        <w:t>logiciel d’application RE2020</w:t>
      </w:r>
      <w:r w:rsidR="00332A60">
        <w:rPr>
          <w:rFonts w:ascii="Arial" w:eastAsia="Times New Roman" w:hAnsi="Arial" w:cs="Arial"/>
          <w:kern w:val="1"/>
          <w:sz w:val="20"/>
          <w:szCs w:val="20"/>
          <w:lang w:eastAsia="fr-FR"/>
        </w:rPr>
        <w:t xml:space="preserve">, </w:t>
      </w:r>
      <w:r w:rsidR="00332A60" w:rsidRPr="00332A60">
        <w:rPr>
          <w:rFonts w:ascii="Arial" w:eastAsia="Times New Roman" w:hAnsi="Arial" w:cs="Arial"/>
          <w:kern w:val="1"/>
          <w:sz w:val="20"/>
          <w:szCs w:val="20"/>
          <w:lang w:eastAsia="fr-FR"/>
        </w:rPr>
        <w:t>Simulation Thermique Dynamique…</w:t>
      </w:r>
      <w:r w:rsidR="00E14F0B">
        <w:rPr>
          <w:rFonts w:ascii="Arial" w:eastAsia="Times New Roman" w:hAnsi="Arial" w:cs="Arial"/>
          <w:kern w:val="1"/>
          <w:sz w:val="20"/>
          <w:szCs w:val="20"/>
          <w:lang w:eastAsia="fr-FR"/>
        </w:rPr>
        <w:t xml:space="preserve"> </w:t>
      </w:r>
      <w:r w:rsidR="00E14F0B" w:rsidRPr="00E14F0B">
        <w:rPr>
          <w:rFonts w:ascii="Arial" w:eastAsia="Times New Roman" w:hAnsi="Arial" w:cs="Arial"/>
          <w:kern w:val="1"/>
          <w:sz w:val="20"/>
          <w:szCs w:val="20"/>
          <w:lang w:eastAsia="fr-FR"/>
        </w:rPr>
        <w:t xml:space="preserve">La </w:t>
      </w:r>
      <w:r w:rsidR="00E14F0B" w:rsidRPr="00E14F0B">
        <w:rPr>
          <w:rFonts w:ascii="Arial" w:eastAsia="Times New Roman" w:hAnsi="Arial" w:cs="Arial"/>
          <w:kern w:val="1"/>
          <w:sz w:val="20"/>
          <w:szCs w:val="20"/>
          <w:lang w:eastAsia="fr-FR"/>
        </w:rPr>
        <w:lastRenderedPageBreak/>
        <w:t>maitrise du logiciel TRNSYS et du codage informatique est un plus.</w:t>
      </w:r>
    </w:p>
    <w:p w14:paraId="3C38A9DD" w14:textId="77777777" w:rsidR="005C54BA" w:rsidRPr="006F0529" w:rsidRDefault="005C54BA"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6FB2D34E" w14:textId="1F98B5B7"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Type de contrat  </w:t>
      </w:r>
    </w:p>
    <w:p w14:paraId="5A4B9594" w14:textId="77777777" w:rsidR="005C54BA" w:rsidRPr="005C54BA" w:rsidRDefault="005C54BA" w:rsidP="005C54BA">
      <w:pPr>
        <w:autoSpaceDE w:val="0"/>
        <w:autoSpaceDN w:val="0"/>
        <w:adjustRightInd w:val="0"/>
        <w:spacing w:after="120" w:line="276" w:lineRule="auto"/>
        <w:rPr>
          <w:rFonts w:ascii="Arial" w:eastAsia="Times New Roman" w:hAnsi="Arial" w:cs="Arial"/>
          <w:color w:val="333333"/>
          <w:sz w:val="20"/>
          <w:szCs w:val="20"/>
          <w:lang w:eastAsia="fr-FR"/>
        </w:rPr>
      </w:pPr>
      <w:r w:rsidRPr="005C54BA">
        <w:rPr>
          <w:rFonts w:ascii="Arial" w:eastAsia="Times New Roman" w:hAnsi="Arial" w:cs="Arial"/>
          <w:color w:val="333333"/>
          <w:sz w:val="20"/>
          <w:szCs w:val="20"/>
          <w:lang w:eastAsia="fr-FR"/>
        </w:rPr>
        <w:t xml:space="preserve">CDI à pourvoir dès que possible, 37h avec télétravail possible </w:t>
      </w:r>
    </w:p>
    <w:p w14:paraId="7AE01CD6"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584D64E" w14:textId="33DE86A4"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Rémunération </w:t>
      </w:r>
    </w:p>
    <w:p w14:paraId="7699054E" w14:textId="3FFB10F2"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color w:val="333333"/>
          <w:sz w:val="20"/>
          <w:szCs w:val="20"/>
          <w:lang w:eastAsia="fr-FR"/>
        </w:rPr>
        <w:t xml:space="preserve">Suivant expérience </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primes, intéressement</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 xml:space="preserve"> avantages sociaux)</w:t>
      </w:r>
    </w:p>
    <w:p w14:paraId="6C5D7BEA"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DDA4217" w14:textId="676D6F8E"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Votre profil </w:t>
      </w:r>
    </w:p>
    <w:p w14:paraId="5C3869C3" w14:textId="57619C24" w:rsidR="00E14F0B" w:rsidRDefault="005C54BA" w:rsidP="00332A60">
      <w:pPr>
        <w:spacing w:after="150"/>
        <w:jc w:val="both"/>
        <w:rPr>
          <w:rFonts w:ascii="Arial" w:eastAsia="Times New Roman" w:hAnsi="Arial" w:cs="Arial"/>
          <w:color w:val="333333"/>
          <w:sz w:val="20"/>
          <w:szCs w:val="20"/>
          <w:lang w:eastAsia="fr-FR"/>
        </w:rPr>
      </w:pPr>
      <w:r w:rsidRPr="005C54BA">
        <w:rPr>
          <w:rFonts w:ascii="Arial" w:eastAsia="Times New Roman" w:hAnsi="Arial" w:cs="Arial"/>
          <w:color w:val="333333"/>
          <w:sz w:val="20"/>
          <w:szCs w:val="20"/>
          <w:lang w:eastAsia="fr-FR"/>
        </w:rPr>
        <w:t>Bac+5,</w:t>
      </w:r>
      <w:r w:rsidR="0075164F">
        <w:rPr>
          <w:rFonts w:ascii="Arial" w:eastAsia="Times New Roman" w:hAnsi="Arial" w:cs="Arial"/>
          <w:color w:val="333333"/>
          <w:sz w:val="20"/>
          <w:szCs w:val="20"/>
          <w:lang w:eastAsia="fr-FR"/>
        </w:rPr>
        <w:t xml:space="preserve"> </w:t>
      </w:r>
      <w:r w:rsidR="0075164F" w:rsidRPr="0075164F">
        <w:rPr>
          <w:rFonts w:ascii="Arial" w:eastAsia="Times New Roman" w:hAnsi="Arial" w:cs="Arial"/>
          <w:color w:val="333333"/>
          <w:sz w:val="20"/>
          <w:szCs w:val="20"/>
          <w:lang w:eastAsia="fr-FR"/>
        </w:rPr>
        <w:t>vous justifiez d’une expérience sur un poste en lien avec la performance énergétique et environnementale du bâtiment.</w:t>
      </w:r>
    </w:p>
    <w:p w14:paraId="20E2C84B" w14:textId="77777777" w:rsidR="00D14A46" w:rsidRDefault="00E14F0B" w:rsidP="00D14A46">
      <w:pPr>
        <w:autoSpaceDE w:val="0"/>
        <w:autoSpaceDN w:val="0"/>
        <w:adjustRightInd w:val="0"/>
        <w:spacing w:line="276" w:lineRule="auto"/>
        <w:jc w:val="both"/>
        <w:rPr>
          <w:rFonts w:ascii="Arial" w:eastAsia="Times New Roman" w:hAnsi="Arial" w:cs="Arial"/>
          <w:color w:val="333333"/>
          <w:sz w:val="20"/>
          <w:szCs w:val="20"/>
          <w:lang w:eastAsia="fr-FR"/>
        </w:rPr>
      </w:pPr>
      <w:r w:rsidRPr="00E14F0B">
        <w:rPr>
          <w:rFonts w:ascii="Arial" w:eastAsia="Times New Roman" w:hAnsi="Arial" w:cs="Arial"/>
          <w:color w:val="333333"/>
          <w:sz w:val="20"/>
          <w:szCs w:val="20"/>
          <w:lang w:eastAsia="fr-FR"/>
        </w:rPr>
        <w:t>Vous aimez traiter de sujet</w:t>
      </w:r>
      <w:r>
        <w:rPr>
          <w:rFonts w:ascii="Arial" w:eastAsia="Times New Roman" w:hAnsi="Arial" w:cs="Arial"/>
          <w:color w:val="333333"/>
          <w:sz w:val="20"/>
          <w:szCs w:val="20"/>
          <w:lang w:eastAsia="fr-FR"/>
        </w:rPr>
        <w:t xml:space="preserve">s </w:t>
      </w:r>
      <w:r w:rsidRPr="00E14F0B">
        <w:rPr>
          <w:rFonts w:ascii="Arial" w:eastAsia="Times New Roman" w:hAnsi="Arial" w:cs="Arial"/>
          <w:color w:val="333333"/>
          <w:sz w:val="20"/>
          <w:szCs w:val="20"/>
          <w:lang w:eastAsia="fr-FR"/>
        </w:rPr>
        <w:t>techniques précis tout autant que de sujet de transition environnementale plus globaux. Vous avez un bon esprit de synthèse, une bonne qualité rédactionnelle et êtes à l’aise à l’oral pour restituer vos travaux à vos clients et partenaires.</w:t>
      </w:r>
    </w:p>
    <w:p w14:paraId="7A3CEB57" w14:textId="77777777" w:rsidR="00D14A46" w:rsidRDefault="00D14A46" w:rsidP="00D14A46">
      <w:pPr>
        <w:autoSpaceDE w:val="0"/>
        <w:autoSpaceDN w:val="0"/>
        <w:adjustRightInd w:val="0"/>
        <w:spacing w:line="276" w:lineRule="auto"/>
        <w:jc w:val="both"/>
        <w:rPr>
          <w:rFonts w:ascii="Arial" w:eastAsia="Times New Roman" w:hAnsi="Arial" w:cs="Arial"/>
          <w:color w:val="333333"/>
          <w:sz w:val="20"/>
          <w:szCs w:val="20"/>
          <w:lang w:eastAsia="fr-FR"/>
        </w:rPr>
      </w:pPr>
    </w:p>
    <w:p w14:paraId="19F82600" w14:textId="372AA65C" w:rsidR="00E14F0B" w:rsidRPr="00D14A46" w:rsidRDefault="00E14F0B" w:rsidP="00D14A46">
      <w:pPr>
        <w:autoSpaceDE w:val="0"/>
        <w:autoSpaceDN w:val="0"/>
        <w:adjustRightInd w:val="0"/>
        <w:spacing w:line="276" w:lineRule="auto"/>
        <w:jc w:val="both"/>
        <w:rPr>
          <w:rFonts w:ascii="Arial" w:eastAsia="Times New Roman" w:hAnsi="Arial" w:cs="Arial"/>
          <w:color w:val="333333"/>
          <w:sz w:val="20"/>
          <w:szCs w:val="20"/>
          <w:lang w:eastAsia="fr-FR"/>
        </w:rPr>
      </w:pPr>
      <w:r>
        <w:rPr>
          <w:rFonts w:ascii="Arial" w:eastAsia="Times New Roman" w:hAnsi="Arial" w:cs="Arial"/>
          <w:kern w:val="1"/>
          <w:sz w:val="20"/>
          <w:szCs w:val="20"/>
          <w:lang w:eastAsia="fr-FR"/>
        </w:rPr>
        <w:t>Vous</w:t>
      </w:r>
      <w:r w:rsidRPr="00E14F0B">
        <w:rPr>
          <w:rFonts w:ascii="Arial" w:eastAsia="Times New Roman" w:hAnsi="Arial" w:cs="Arial"/>
          <w:kern w:val="1"/>
          <w:sz w:val="20"/>
          <w:szCs w:val="20"/>
          <w:lang w:eastAsia="fr-FR"/>
        </w:rPr>
        <w:t xml:space="preserve"> maîtrise</w:t>
      </w:r>
      <w:r>
        <w:rPr>
          <w:rFonts w:ascii="Arial" w:eastAsia="Times New Roman" w:hAnsi="Arial" w:cs="Arial"/>
          <w:kern w:val="1"/>
          <w:sz w:val="20"/>
          <w:szCs w:val="20"/>
          <w:lang w:eastAsia="fr-FR"/>
        </w:rPr>
        <w:t>z</w:t>
      </w:r>
      <w:r w:rsidRPr="00E14F0B">
        <w:rPr>
          <w:rFonts w:ascii="Arial" w:eastAsia="Times New Roman" w:hAnsi="Arial" w:cs="Arial"/>
          <w:kern w:val="1"/>
          <w:sz w:val="20"/>
          <w:szCs w:val="20"/>
          <w:lang w:eastAsia="fr-FR"/>
        </w:rPr>
        <w:t xml:space="preserve"> </w:t>
      </w:r>
      <w:r>
        <w:rPr>
          <w:rFonts w:ascii="Arial" w:eastAsia="Times New Roman" w:hAnsi="Arial" w:cs="Arial"/>
          <w:kern w:val="1"/>
          <w:sz w:val="20"/>
          <w:szCs w:val="20"/>
          <w:lang w:eastAsia="fr-FR"/>
        </w:rPr>
        <w:t>l</w:t>
      </w:r>
      <w:r w:rsidRPr="00E14F0B">
        <w:rPr>
          <w:rFonts w:ascii="Arial" w:eastAsia="Times New Roman" w:hAnsi="Arial" w:cs="Arial"/>
          <w:kern w:val="1"/>
          <w:sz w:val="20"/>
          <w:szCs w:val="20"/>
          <w:lang w:eastAsia="fr-FR"/>
        </w:rPr>
        <w:t xml:space="preserve">es textes, méthodes et outils de calcul réglementaire RE2020, et </w:t>
      </w:r>
      <w:r>
        <w:rPr>
          <w:rFonts w:ascii="Arial" w:eastAsia="Times New Roman" w:hAnsi="Arial" w:cs="Arial"/>
          <w:kern w:val="1"/>
          <w:sz w:val="20"/>
          <w:szCs w:val="20"/>
          <w:lang w:eastAsia="fr-FR"/>
        </w:rPr>
        <w:t xml:space="preserve">avez </w:t>
      </w:r>
      <w:r w:rsidRPr="00E14F0B">
        <w:rPr>
          <w:rFonts w:ascii="Arial" w:eastAsia="Times New Roman" w:hAnsi="Arial" w:cs="Arial"/>
          <w:kern w:val="1"/>
          <w:sz w:val="20"/>
          <w:szCs w:val="20"/>
          <w:lang w:eastAsia="fr-FR"/>
        </w:rPr>
        <w:t>une connaissance approfondie de l’architecture bioclimatique, des procédés constructifs et des équipements de génie climatique. Des compétences en bâtiments biosourcés et simulations thermiques dynamiques et FLJ seraient un plus.</w:t>
      </w:r>
    </w:p>
    <w:p w14:paraId="263D8339" w14:textId="77777777" w:rsidR="00E14F0B" w:rsidRDefault="00E14F0B" w:rsidP="005C54BA">
      <w:pPr>
        <w:spacing w:after="150"/>
        <w:jc w:val="both"/>
        <w:rPr>
          <w:rFonts w:ascii="Arial" w:hAnsi="Arial" w:cs="Arial"/>
          <w:b/>
          <w:bCs/>
          <w:color w:val="2E3172"/>
          <w:sz w:val="20"/>
          <w:szCs w:val="20"/>
        </w:rPr>
      </w:pPr>
    </w:p>
    <w:p w14:paraId="3FDBD102" w14:textId="47DDE240" w:rsidR="005C54BA" w:rsidRPr="00F25FCE" w:rsidRDefault="005C54BA" w:rsidP="005C54BA">
      <w:pPr>
        <w:spacing w:after="150"/>
        <w:jc w:val="both"/>
        <w:rPr>
          <w:rFonts w:ascii="Arial" w:hAnsi="Arial" w:cs="Arial"/>
          <w:b/>
          <w:bCs/>
          <w:color w:val="2E3172"/>
          <w:sz w:val="20"/>
          <w:szCs w:val="20"/>
        </w:rPr>
      </w:pPr>
      <w:r w:rsidRPr="00F25FCE">
        <w:rPr>
          <w:rFonts w:ascii="Arial" w:hAnsi="Arial" w:cs="Arial"/>
          <w:b/>
          <w:bCs/>
          <w:color w:val="2E3172"/>
          <w:sz w:val="20"/>
          <w:szCs w:val="20"/>
        </w:rPr>
        <w:t>Notre bureau d’études </w:t>
      </w:r>
    </w:p>
    <w:p w14:paraId="3CB10786"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Pouget Consultants est une société de conseils et d’ingénierie en efficacité énergétique et environnementale des bâtiments créée en 1982 et référente auprès des pouvoirs publics. </w:t>
      </w:r>
    </w:p>
    <w:p w14:paraId="6E7A6FED"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Notre mission : Agir aujourd’hui sur l’efficacité énergétique des bâtiment neufs et existants pour un futur durable et désirable. Au fil des ans, nous avons enrichi notre savoir-faire historique en thermique pour proposer une expertise globale en décarbonation. Nous rassemblons une équipe pluridisciplinaire de plus de 90 experts et expertes engagés dans la réussite des projets de nos clients et partenaires. </w:t>
      </w:r>
    </w:p>
    <w:p w14:paraId="6A24C58A"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La force de nos accompagnements vient de nos ajustements permanents entre expérience historique, savoir-faire, connaissances réglementaires et réalités du terrain. </w:t>
      </w:r>
    </w:p>
    <w:p w14:paraId="1FBB3572" w14:textId="77777777" w:rsidR="005C54BA" w:rsidRPr="00F25FCE" w:rsidRDefault="005C54BA" w:rsidP="005C54BA">
      <w:pPr>
        <w:autoSpaceDE w:val="0"/>
        <w:autoSpaceDN w:val="0"/>
        <w:adjustRightInd w:val="0"/>
        <w:jc w:val="both"/>
        <w:rPr>
          <w:rFonts w:ascii="Arial" w:hAnsi="Arial" w:cs="Arial"/>
          <w:b/>
          <w:bCs/>
          <w:color w:val="2E3172"/>
          <w:sz w:val="20"/>
          <w:szCs w:val="20"/>
        </w:rPr>
      </w:pPr>
      <w:r w:rsidRPr="00F25FCE">
        <w:rPr>
          <w:rFonts w:ascii="Arial" w:hAnsi="Arial" w:cs="Arial"/>
          <w:sz w:val="20"/>
          <w:szCs w:val="20"/>
        </w:rPr>
        <w:t xml:space="preserve">Nous accompagnons chacun de nos clients dans la recherche des solutions optimales conciliant expertise opérationnelle, recherche et innovation. </w:t>
      </w:r>
    </w:p>
    <w:p w14:paraId="1E8A6F48" w14:textId="77777777" w:rsidR="005C54BA" w:rsidRPr="006F0529" w:rsidRDefault="005C54BA"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7E919DF0" w14:textId="77777777" w:rsidR="008B0D47" w:rsidRPr="006F0529" w:rsidRDefault="008B0D47" w:rsidP="006F0529">
      <w:pPr>
        <w:autoSpaceDE w:val="0"/>
        <w:autoSpaceDN w:val="0"/>
        <w:adjustRightInd w:val="0"/>
        <w:spacing w:line="276" w:lineRule="auto"/>
        <w:jc w:val="both"/>
        <w:rPr>
          <w:rFonts w:ascii="Arial" w:eastAsia="Times New Roman" w:hAnsi="Arial" w:cs="Arial"/>
          <w:color w:val="333333"/>
          <w:sz w:val="12"/>
          <w:szCs w:val="12"/>
          <w:lang w:eastAsia="fr-FR"/>
        </w:rPr>
      </w:pPr>
    </w:p>
    <w:p w14:paraId="747DAC87" w14:textId="77777777" w:rsidR="006F0529" w:rsidRDefault="007F4EE5" w:rsidP="006F0529">
      <w:pPr>
        <w:spacing w:after="150"/>
        <w:jc w:val="both"/>
        <w:rPr>
          <w:rFonts w:ascii="Arial" w:eastAsia="Times New Roman" w:hAnsi="Arial" w:cs="Arial"/>
          <w:b/>
          <w:bCs/>
          <w:color w:val="2E3172"/>
          <w:sz w:val="20"/>
          <w:szCs w:val="20"/>
          <w:lang w:eastAsia="fr-FR"/>
        </w:rPr>
      </w:pPr>
      <w:r w:rsidRPr="006F0529">
        <w:rPr>
          <w:rFonts w:ascii="Arial" w:eastAsia="Times New Roman" w:hAnsi="Arial" w:cs="Arial"/>
          <w:b/>
          <w:bCs/>
          <w:color w:val="2E3172"/>
          <w:sz w:val="20"/>
          <w:szCs w:val="20"/>
          <w:lang w:eastAsia="fr-FR"/>
        </w:rPr>
        <w:t>Nous rejoindre</w:t>
      </w:r>
      <w:r w:rsidR="006F0529" w:rsidRPr="006F0529">
        <w:rPr>
          <w:rFonts w:ascii="Arial" w:eastAsia="Times New Roman" w:hAnsi="Arial" w:cs="Arial"/>
          <w:b/>
          <w:bCs/>
          <w:color w:val="2E3172"/>
          <w:sz w:val="20"/>
          <w:szCs w:val="20"/>
          <w:lang w:eastAsia="fr-FR"/>
        </w:rPr>
        <w:t xml:space="preserve"> </w:t>
      </w:r>
    </w:p>
    <w:p w14:paraId="7717EFD2" w14:textId="359CECB2" w:rsidR="00635B20" w:rsidRDefault="007F4EE5" w:rsidP="00635B20">
      <w:pPr>
        <w:spacing w:after="150"/>
        <w:jc w:val="both"/>
        <w:rPr>
          <w:rStyle w:val="Lienhypertexte"/>
          <w:rFonts w:ascii="Arial" w:eastAsia="Times New Roman" w:hAnsi="Arial" w:cs="Arial"/>
          <w:sz w:val="20"/>
          <w:szCs w:val="20"/>
          <w:lang w:eastAsia="fr-FR"/>
        </w:rPr>
      </w:pPr>
      <w:r w:rsidRPr="006F0529">
        <w:rPr>
          <w:rFonts w:ascii="Arial" w:eastAsia="Times New Roman" w:hAnsi="Arial" w:cs="Arial"/>
          <w:color w:val="333333"/>
          <w:sz w:val="20"/>
          <w:szCs w:val="20"/>
          <w:lang w:eastAsia="fr-FR"/>
        </w:rPr>
        <w:t>Pour rejoindre notre bureau d'étude et son équipe dynamique et optimiste au sein de laquelle chacun et chacune à toute sa place, dans la simplicité et l'authenticité, contactez</w:t>
      </w:r>
      <w:r w:rsidRPr="00635B20">
        <w:rPr>
          <w:rFonts w:ascii="Arial" w:eastAsia="Times New Roman" w:hAnsi="Arial" w:cs="Arial"/>
          <w:color w:val="333333"/>
          <w:sz w:val="20"/>
          <w:szCs w:val="20"/>
          <w:lang w:eastAsia="fr-FR"/>
        </w:rPr>
        <w:t> </w:t>
      </w:r>
      <w:r w:rsidRPr="00635B20">
        <w:rPr>
          <w:rStyle w:val="Lienhypertexte"/>
          <w:u w:val="none"/>
        </w:rPr>
        <w:t>:</w:t>
      </w:r>
      <w:r w:rsidR="00E14F0B">
        <w:rPr>
          <w:rStyle w:val="Lienhypertexte"/>
          <w:u w:val="none"/>
        </w:rPr>
        <w:t xml:space="preserve"> </w:t>
      </w:r>
      <w:hyperlink r:id="rId8" w:history="1">
        <w:r w:rsidR="00E14F0B" w:rsidRPr="00E97D69">
          <w:rPr>
            <w:rStyle w:val="Lienhypertexte"/>
            <w:rFonts w:ascii="Arial" w:eastAsia="Times New Roman" w:hAnsi="Arial" w:cs="Arial"/>
            <w:sz w:val="20"/>
            <w:szCs w:val="20"/>
            <w:lang w:eastAsia="fr-FR"/>
          </w:rPr>
          <w:t>david.lebannier@pouget-consultants.fr</w:t>
        </w:r>
      </w:hyperlink>
    </w:p>
    <w:p w14:paraId="1074E80C" w14:textId="77777777" w:rsidR="00635B20" w:rsidRDefault="00635B20" w:rsidP="00635B20">
      <w:pPr>
        <w:spacing w:after="150"/>
        <w:jc w:val="both"/>
        <w:rPr>
          <w:rStyle w:val="Lienhypertexte"/>
          <w:rFonts w:ascii="Arial" w:eastAsia="Times New Roman" w:hAnsi="Arial" w:cs="Arial"/>
          <w:sz w:val="20"/>
          <w:szCs w:val="20"/>
          <w:lang w:eastAsia="fr-FR"/>
        </w:rPr>
      </w:pPr>
    </w:p>
    <w:p w14:paraId="6F5EADB7" w14:textId="77777777" w:rsidR="008965F9" w:rsidRPr="006F0529" w:rsidRDefault="008965F9" w:rsidP="00FB7491">
      <w:pPr>
        <w:spacing w:after="150"/>
        <w:jc w:val="both"/>
        <w:rPr>
          <w:rFonts w:ascii="Arial" w:hAnsi="Arial" w:cs="Arial"/>
          <w:color w:val="53B475"/>
          <w:sz w:val="28"/>
          <w:szCs w:val="28"/>
        </w:rPr>
      </w:pPr>
    </w:p>
    <w:sectPr w:rsidR="008965F9" w:rsidRPr="006F0529" w:rsidSect="006F0529">
      <w:headerReference w:type="default" r:id="rId9"/>
      <w:footerReference w:type="default" r:id="rId10"/>
      <w:pgSz w:w="11906" w:h="16838"/>
      <w:pgMar w:top="1417" w:right="1417" w:bottom="1417" w:left="99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7CE6" w14:textId="77777777" w:rsidR="0087519B" w:rsidRDefault="0087519B" w:rsidP="00120601">
      <w:r>
        <w:separator/>
      </w:r>
    </w:p>
  </w:endnote>
  <w:endnote w:type="continuationSeparator" w:id="0">
    <w:p w14:paraId="67C78277" w14:textId="77777777" w:rsidR="0087519B" w:rsidRDefault="0087519B" w:rsidP="0012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19" w14:textId="33D049E0" w:rsidR="00120601" w:rsidRDefault="00120601" w:rsidP="006F0529">
    <w:pPr>
      <w:pStyle w:val="Pieddepage"/>
      <w:ind w:left="-991" w:righ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A1E8" w14:textId="77777777" w:rsidR="0087519B" w:rsidRDefault="0087519B" w:rsidP="00120601">
      <w:r>
        <w:separator/>
      </w:r>
    </w:p>
  </w:footnote>
  <w:footnote w:type="continuationSeparator" w:id="0">
    <w:p w14:paraId="2E599C09" w14:textId="77777777" w:rsidR="0087519B" w:rsidRDefault="0087519B" w:rsidP="0012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AB8" w14:textId="00C45546" w:rsidR="008E4DDC" w:rsidRPr="008E4DDC" w:rsidRDefault="00BF547E" w:rsidP="008E4DDC">
    <w:pPr>
      <w:pStyle w:val="En-tte"/>
      <w:ind w:left="-709"/>
    </w:pPr>
    <w:r>
      <w:rPr>
        <w:noProof/>
      </w:rPr>
      <w:softHyphen/>
    </w:r>
    <w:r w:rsidR="008E4DDC">
      <w:rPr>
        <w:noProof/>
      </w:rPr>
      <w:drawing>
        <wp:inline distT="0" distB="0" distL="0" distR="0" wp14:anchorId="1250D3DD" wp14:editId="3A027FF8">
          <wp:extent cx="1968797" cy="880881"/>
          <wp:effectExtent l="0" t="0" r="0" b="0"/>
          <wp:docPr id="1680069240"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69240"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55505" cy="91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70"/>
    <w:multiLevelType w:val="hybridMultilevel"/>
    <w:tmpl w:val="454495A6"/>
    <w:lvl w:ilvl="0" w:tplc="64FA58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34F"/>
    <w:multiLevelType w:val="hybridMultilevel"/>
    <w:tmpl w:val="C576B69C"/>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1073C"/>
    <w:multiLevelType w:val="hybridMultilevel"/>
    <w:tmpl w:val="7A86D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E2454"/>
    <w:multiLevelType w:val="hybridMultilevel"/>
    <w:tmpl w:val="D1A6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72172"/>
    <w:multiLevelType w:val="multilevel"/>
    <w:tmpl w:val="B44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21F"/>
    <w:multiLevelType w:val="multilevel"/>
    <w:tmpl w:val="A3F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01AFF"/>
    <w:multiLevelType w:val="multilevel"/>
    <w:tmpl w:val="B3C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DB0"/>
    <w:multiLevelType w:val="multilevel"/>
    <w:tmpl w:val="1C9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33B12"/>
    <w:multiLevelType w:val="hybridMultilevel"/>
    <w:tmpl w:val="BF0A9DC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FB28C3"/>
    <w:multiLevelType w:val="hybridMultilevel"/>
    <w:tmpl w:val="FFD8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C8770C"/>
    <w:multiLevelType w:val="hybridMultilevel"/>
    <w:tmpl w:val="D75CA2DA"/>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C078C5"/>
    <w:multiLevelType w:val="hybridMultilevel"/>
    <w:tmpl w:val="BF6664BC"/>
    <w:lvl w:ilvl="0" w:tplc="0B6EBDAA">
      <w:start w:val="1"/>
      <w:numFmt w:val="bullet"/>
      <w:lvlText w:val=""/>
      <w:lvlJc w:val="left"/>
      <w:pPr>
        <w:ind w:left="1340" w:hanging="360"/>
      </w:pPr>
      <w:rPr>
        <w:rFonts w:ascii="Symbol" w:hAnsi="Symbol" w:cs="Symbol" w:hint="default"/>
        <w:color w:val="525252" w:themeColor="accent3" w:themeShade="80"/>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cs="Wingdings" w:hint="default"/>
      </w:rPr>
    </w:lvl>
    <w:lvl w:ilvl="3" w:tplc="040C0001">
      <w:start w:val="1"/>
      <w:numFmt w:val="bullet"/>
      <w:lvlText w:val=""/>
      <w:lvlJc w:val="left"/>
      <w:pPr>
        <w:ind w:left="3500" w:hanging="360"/>
      </w:pPr>
      <w:rPr>
        <w:rFonts w:ascii="Symbol" w:hAnsi="Symbol" w:cs="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cs="Wingdings" w:hint="default"/>
      </w:rPr>
    </w:lvl>
    <w:lvl w:ilvl="6" w:tplc="040C0001">
      <w:start w:val="1"/>
      <w:numFmt w:val="bullet"/>
      <w:lvlText w:val=""/>
      <w:lvlJc w:val="left"/>
      <w:pPr>
        <w:ind w:left="5660" w:hanging="360"/>
      </w:pPr>
      <w:rPr>
        <w:rFonts w:ascii="Symbol" w:hAnsi="Symbol" w:cs="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cs="Wingdings" w:hint="default"/>
      </w:rPr>
    </w:lvl>
  </w:abstractNum>
  <w:abstractNum w:abstractNumId="12" w15:restartNumberingAfterBreak="0">
    <w:nsid w:val="59C067AE"/>
    <w:multiLevelType w:val="hybridMultilevel"/>
    <w:tmpl w:val="B22E121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0373A6"/>
    <w:multiLevelType w:val="hybridMultilevel"/>
    <w:tmpl w:val="13363C9A"/>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2E15F1"/>
    <w:multiLevelType w:val="multilevel"/>
    <w:tmpl w:val="C21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22020"/>
    <w:multiLevelType w:val="multilevel"/>
    <w:tmpl w:val="4A0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82E7F"/>
    <w:multiLevelType w:val="multilevel"/>
    <w:tmpl w:val="0AE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1718F1"/>
    <w:multiLevelType w:val="hybridMultilevel"/>
    <w:tmpl w:val="FAC03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6741D"/>
    <w:multiLevelType w:val="hybridMultilevel"/>
    <w:tmpl w:val="8EF02DB4"/>
    <w:lvl w:ilvl="0" w:tplc="33AEE040">
      <w:start w:val="6"/>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5F4138"/>
    <w:multiLevelType w:val="multilevel"/>
    <w:tmpl w:val="6F0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CA5410"/>
    <w:multiLevelType w:val="hybridMultilevel"/>
    <w:tmpl w:val="6988FC1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64729919">
    <w:abstractNumId w:val="17"/>
  </w:num>
  <w:num w:numId="2" w16cid:durableId="1609698017">
    <w:abstractNumId w:val="1"/>
  </w:num>
  <w:num w:numId="3" w16cid:durableId="2091459969">
    <w:abstractNumId w:val="2"/>
  </w:num>
  <w:num w:numId="4" w16cid:durableId="1885602033">
    <w:abstractNumId w:val="13"/>
  </w:num>
  <w:num w:numId="5" w16cid:durableId="481502093">
    <w:abstractNumId w:val="12"/>
  </w:num>
  <w:num w:numId="6" w16cid:durableId="80491958">
    <w:abstractNumId w:val="10"/>
  </w:num>
  <w:num w:numId="7" w16cid:durableId="1054738098">
    <w:abstractNumId w:val="8"/>
  </w:num>
  <w:num w:numId="8" w16cid:durableId="384566683">
    <w:abstractNumId w:val="0"/>
  </w:num>
  <w:num w:numId="9" w16cid:durableId="1052147157">
    <w:abstractNumId w:val="9"/>
  </w:num>
  <w:num w:numId="10" w16cid:durableId="921069355">
    <w:abstractNumId w:val="3"/>
  </w:num>
  <w:num w:numId="11" w16cid:durableId="919869468">
    <w:abstractNumId w:val="11"/>
  </w:num>
  <w:num w:numId="12" w16cid:durableId="45374547">
    <w:abstractNumId w:val="7"/>
  </w:num>
  <w:num w:numId="13" w16cid:durableId="2043701463">
    <w:abstractNumId w:val="14"/>
  </w:num>
  <w:num w:numId="14" w16cid:durableId="855656149">
    <w:abstractNumId w:val="18"/>
  </w:num>
  <w:num w:numId="15" w16cid:durableId="1775323767">
    <w:abstractNumId w:val="19"/>
  </w:num>
  <w:num w:numId="16" w16cid:durableId="371196217">
    <w:abstractNumId w:val="5"/>
  </w:num>
  <w:num w:numId="17" w16cid:durableId="1573463586">
    <w:abstractNumId w:val="16"/>
  </w:num>
  <w:num w:numId="18" w16cid:durableId="1478764922">
    <w:abstractNumId w:val="15"/>
  </w:num>
  <w:num w:numId="19" w16cid:durableId="881332316">
    <w:abstractNumId w:val="6"/>
  </w:num>
  <w:num w:numId="20" w16cid:durableId="1502701560">
    <w:abstractNumId w:val="4"/>
  </w:num>
  <w:num w:numId="21" w16cid:durableId="652563384">
    <w:abstractNumId w:val="20"/>
  </w:num>
  <w:num w:numId="22" w16cid:durableId="20893841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5D"/>
    <w:rsid w:val="00060F16"/>
    <w:rsid w:val="000C0671"/>
    <w:rsid w:val="00120601"/>
    <w:rsid w:val="00120665"/>
    <w:rsid w:val="00150126"/>
    <w:rsid w:val="001F0EFC"/>
    <w:rsid w:val="002342EB"/>
    <w:rsid w:val="0023733D"/>
    <w:rsid w:val="00272004"/>
    <w:rsid w:val="00332A60"/>
    <w:rsid w:val="00341D7D"/>
    <w:rsid w:val="00347E3C"/>
    <w:rsid w:val="0035722B"/>
    <w:rsid w:val="003C208E"/>
    <w:rsid w:val="00400930"/>
    <w:rsid w:val="004206E8"/>
    <w:rsid w:val="00441106"/>
    <w:rsid w:val="00506936"/>
    <w:rsid w:val="005C54BA"/>
    <w:rsid w:val="00635B20"/>
    <w:rsid w:val="00673CF3"/>
    <w:rsid w:val="006D1E31"/>
    <w:rsid w:val="006E3E10"/>
    <w:rsid w:val="006F0529"/>
    <w:rsid w:val="00731DD9"/>
    <w:rsid w:val="00740D58"/>
    <w:rsid w:val="00746241"/>
    <w:rsid w:val="0075164F"/>
    <w:rsid w:val="007E28B6"/>
    <w:rsid w:val="007F4EE5"/>
    <w:rsid w:val="00853EF2"/>
    <w:rsid w:val="0087519B"/>
    <w:rsid w:val="008965F9"/>
    <w:rsid w:val="008A4006"/>
    <w:rsid w:val="008B0D47"/>
    <w:rsid w:val="008D78AE"/>
    <w:rsid w:val="008E4DDC"/>
    <w:rsid w:val="009B7006"/>
    <w:rsid w:val="009E652C"/>
    <w:rsid w:val="00A27DDB"/>
    <w:rsid w:val="00A7675D"/>
    <w:rsid w:val="00A9184B"/>
    <w:rsid w:val="00B0230F"/>
    <w:rsid w:val="00B411D3"/>
    <w:rsid w:val="00B569D8"/>
    <w:rsid w:val="00B8704E"/>
    <w:rsid w:val="00BC1A63"/>
    <w:rsid w:val="00BC6D81"/>
    <w:rsid w:val="00BF2C26"/>
    <w:rsid w:val="00BF547E"/>
    <w:rsid w:val="00C14826"/>
    <w:rsid w:val="00C6482B"/>
    <w:rsid w:val="00C73F19"/>
    <w:rsid w:val="00C85240"/>
    <w:rsid w:val="00CB22CB"/>
    <w:rsid w:val="00CE4D19"/>
    <w:rsid w:val="00CE7C83"/>
    <w:rsid w:val="00D14A46"/>
    <w:rsid w:val="00D25490"/>
    <w:rsid w:val="00DF3E2F"/>
    <w:rsid w:val="00DF40AD"/>
    <w:rsid w:val="00E14F0B"/>
    <w:rsid w:val="00E16A3E"/>
    <w:rsid w:val="00E3494D"/>
    <w:rsid w:val="00E8182A"/>
    <w:rsid w:val="00EA2662"/>
    <w:rsid w:val="00EA72B8"/>
    <w:rsid w:val="00ED73C2"/>
    <w:rsid w:val="00F07691"/>
    <w:rsid w:val="00FB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BBBA73"/>
  <w15:chartTrackingRefBased/>
  <w15:docId w15:val="{15261031-8E4E-4C95-B714-AA4CC3D0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36"/>
    <w:pPr>
      <w:spacing w:after="0" w:line="240" w:lineRule="auto"/>
    </w:pPr>
    <w:rPr>
      <w:sz w:val="24"/>
      <w:szCs w:val="24"/>
    </w:rPr>
  </w:style>
  <w:style w:type="paragraph" w:styleId="Titre1">
    <w:name w:val="heading 1"/>
    <w:basedOn w:val="Normal"/>
    <w:link w:val="Titre1Car"/>
    <w:uiPriority w:val="9"/>
    <w:qFormat/>
    <w:rsid w:val="006E3E1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069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693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0601"/>
    <w:pPr>
      <w:tabs>
        <w:tab w:val="center" w:pos="4536"/>
        <w:tab w:val="right" w:pos="9072"/>
      </w:tabs>
    </w:pPr>
  </w:style>
  <w:style w:type="character" w:customStyle="1" w:styleId="En-tteCar">
    <w:name w:val="En-tête Car"/>
    <w:basedOn w:val="Policepardfaut"/>
    <w:link w:val="En-tte"/>
    <w:uiPriority w:val="99"/>
    <w:rsid w:val="00120601"/>
  </w:style>
  <w:style w:type="paragraph" w:styleId="Pieddepage">
    <w:name w:val="footer"/>
    <w:basedOn w:val="Normal"/>
    <w:link w:val="PieddepageCar"/>
    <w:uiPriority w:val="99"/>
    <w:unhideWhenUsed/>
    <w:rsid w:val="00120601"/>
    <w:pPr>
      <w:tabs>
        <w:tab w:val="center" w:pos="4536"/>
        <w:tab w:val="right" w:pos="9072"/>
      </w:tabs>
    </w:pPr>
  </w:style>
  <w:style w:type="character" w:customStyle="1" w:styleId="PieddepageCar">
    <w:name w:val="Pied de page Car"/>
    <w:basedOn w:val="Policepardfaut"/>
    <w:link w:val="Pieddepage"/>
    <w:uiPriority w:val="99"/>
    <w:rsid w:val="00120601"/>
  </w:style>
  <w:style w:type="paragraph" w:styleId="Paragraphedeliste">
    <w:name w:val="List Paragraph"/>
    <w:basedOn w:val="Normal"/>
    <w:uiPriority w:val="99"/>
    <w:qFormat/>
    <w:rsid w:val="00120665"/>
    <w:pPr>
      <w:ind w:left="720"/>
      <w:contextualSpacing/>
    </w:pPr>
  </w:style>
  <w:style w:type="character" w:customStyle="1" w:styleId="Titre2Car">
    <w:name w:val="Titre 2 Car"/>
    <w:basedOn w:val="Policepardfaut"/>
    <w:link w:val="Titre2"/>
    <w:uiPriority w:val="9"/>
    <w:rsid w:val="005069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693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E652C"/>
    <w:rPr>
      <w:b/>
      <w:bCs/>
    </w:rPr>
  </w:style>
  <w:style w:type="paragraph" w:styleId="NormalWeb">
    <w:name w:val="Normal (Web)"/>
    <w:basedOn w:val="Normal"/>
    <w:uiPriority w:val="99"/>
    <w:unhideWhenUsed/>
    <w:rsid w:val="009E652C"/>
    <w:pPr>
      <w:spacing w:before="100" w:beforeAutospacing="1" w:after="100" w:afterAutospacing="1"/>
    </w:pPr>
    <w:rPr>
      <w:rFonts w:ascii="Times New Roman" w:eastAsia="Times New Roman" w:hAnsi="Times New Roman" w:cs="Times New Roman"/>
      <w:lang w:eastAsia="fr-FR"/>
    </w:rPr>
  </w:style>
  <w:style w:type="character" w:customStyle="1" w:styleId="white-space-pre">
    <w:name w:val="white-space-pre"/>
    <w:basedOn w:val="Policepardfaut"/>
    <w:rsid w:val="009E652C"/>
  </w:style>
  <w:style w:type="character" w:styleId="Lienhypertexte">
    <w:name w:val="Hyperlink"/>
    <w:basedOn w:val="Policepardfaut"/>
    <w:uiPriority w:val="99"/>
    <w:unhideWhenUsed/>
    <w:rsid w:val="00DF40AD"/>
    <w:rPr>
      <w:color w:val="0000FF"/>
      <w:u w:val="single"/>
    </w:rPr>
  </w:style>
  <w:style w:type="character" w:customStyle="1" w:styleId="Titre1Car">
    <w:name w:val="Titre 1 Car"/>
    <w:basedOn w:val="Policepardfaut"/>
    <w:link w:val="Titre1"/>
    <w:uiPriority w:val="9"/>
    <w:rsid w:val="006E3E10"/>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8B0D47"/>
    <w:rPr>
      <w:sz w:val="16"/>
      <w:szCs w:val="16"/>
    </w:rPr>
  </w:style>
  <w:style w:type="paragraph" w:styleId="Commentaire">
    <w:name w:val="annotation text"/>
    <w:basedOn w:val="Normal"/>
    <w:link w:val="CommentaireCar"/>
    <w:uiPriority w:val="99"/>
    <w:semiHidden/>
    <w:unhideWhenUsed/>
    <w:rsid w:val="008B0D47"/>
    <w:pPr>
      <w:spacing w:after="160"/>
    </w:pPr>
    <w:rPr>
      <w:sz w:val="20"/>
      <w:szCs w:val="20"/>
    </w:rPr>
  </w:style>
  <w:style w:type="character" w:customStyle="1" w:styleId="CommentaireCar">
    <w:name w:val="Commentaire Car"/>
    <w:basedOn w:val="Policepardfaut"/>
    <w:link w:val="Commentaire"/>
    <w:uiPriority w:val="99"/>
    <w:semiHidden/>
    <w:rsid w:val="008B0D47"/>
    <w:rPr>
      <w:sz w:val="20"/>
      <w:szCs w:val="20"/>
    </w:rPr>
  </w:style>
  <w:style w:type="character" w:styleId="Mentionnonrsolue">
    <w:name w:val="Unresolved Mention"/>
    <w:basedOn w:val="Policepardfaut"/>
    <w:uiPriority w:val="99"/>
    <w:semiHidden/>
    <w:unhideWhenUsed/>
    <w:rsid w:val="00DF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655">
      <w:bodyDiv w:val="1"/>
      <w:marLeft w:val="0"/>
      <w:marRight w:val="0"/>
      <w:marTop w:val="0"/>
      <w:marBottom w:val="0"/>
      <w:divBdr>
        <w:top w:val="none" w:sz="0" w:space="0" w:color="auto"/>
        <w:left w:val="none" w:sz="0" w:space="0" w:color="auto"/>
        <w:bottom w:val="none" w:sz="0" w:space="0" w:color="auto"/>
        <w:right w:val="none" w:sz="0" w:space="0" w:color="auto"/>
      </w:divBdr>
    </w:div>
    <w:div w:id="208500006">
      <w:bodyDiv w:val="1"/>
      <w:marLeft w:val="0"/>
      <w:marRight w:val="0"/>
      <w:marTop w:val="0"/>
      <w:marBottom w:val="0"/>
      <w:divBdr>
        <w:top w:val="none" w:sz="0" w:space="0" w:color="auto"/>
        <w:left w:val="none" w:sz="0" w:space="0" w:color="auto"/>
        <w:bottom w:val="none" w:sz="0" w:space="0" w:color="auto"/>
        <w:right w:val="none" w:sz="0" w:space="0" w:color="auto"/>
      </w:divBdr>
    </w:div>
    <w:div w:id="305018082">
      <w:bodyDiv w:val="1"/>
      <w:marLeft w:val="0"/>
      <w:marRight w:val="0"/>
      <w:marTop w:val="0"/>
      <w:marBottom w:val="0"/>
      <w:divBdr>
        <w:top w:val="none" w:sz="0" w:space="0" w:color="auto"/>
        <w:left w:val="none" w:sz="0" w:space="0" w:color="auto"/>
        <w:bottom w:val="none" w:sz="0" w:space="0" w:color="auto"/>
        <w:right w:val="none" w:sz="0" w:space="0" w:color="auto"/>
      </w:divBdr>
    </w:div>
    <w:div w:id="371878677">
      <w:bodyDiv w:val="1"/>
      <w:marLeft w:val="0"/>
      <w:marRight w:val="0"/>
      <w:marTop w:val="0"/>
      <w:marBottom w:val="0"/>
      <w:divBdr>
        <w:top w:val="none" w:sz="0" w:space="0" w:color="auto"/>
        <w:left w:val="none" w:sz="0" w:space="0" w:color="auto"/>
        <w:bottom w:val="none" w:sz="0" w:space="0" w:color="auto"/>
        <w:right w:val="none" w:sz="0" w:space="0" w:color="auto"/>
      </w:divBdr>
    </w:div>
    <w:div w:id="411048592">
      <w:bodyDiv w:val="1"/>
      <w:marLeft w:val="0"/>
      <w:marRight w:val="0"/>
      <w:marTop w:val="0"/>
      <w:marBottom w:val="0"/>
      <w:divBdr>
        <w:top w:val="none" w:sz="0" w:space="0" w:color="auto"/>
        <w:left w:val="none" w:sz="0" w:space="0" w:color="auto"/>
        <w:bottom w:val="none" w:sz="0" w:space="0" w:color="auto"/>
        <w:right w:val="none" w:sz="0" w:space="0" w:color="auto"/>
      </w:divBdr>
    </w:div>
    <w:div w:id="433986943">
      <w:bodyDiv w:val="1"/>
      <w:marLeft w:val="0"/>
      <w:marRight w:val="0"/>
      <w:marTop w:val="0"/>
      <w:marBottom w:val="0"/>
      <w:divBdr>
        <w:top w:val="none" w:sz="0" w:space="0" w:color="auto"/>
        <w:left w:val="none" w:sz="0" w:space="0" w:color="auto"/>
        <w:bottom w:val="none" w:sz="0" w:space="0" w:color="auto"/>
        <w:right w:val="none" w:sz="0" w:space="0" w:color="auto"/>
      </w:divBdr>
    </w:div>
    <w:div w:id="481502462">
      <w:bodyDiv w:val="1"/>
      <w:marLeft w:val="0"/>
      <w:marRight w:val="0"/>
      <w:marTop w:val="0"/>
      <w:marBottom w:val="0"/>
      <w:divBdr>
        <w:top w:val="none" w:sz="0" w:space="0" w:color="auto"/>
        <w:left w:val="none" w:sz="0" w:space="0" w:color="auto"/>
        <w:bottom w:val="none" w:sz="0" w:space="0" w:color="auto"/>
        <w:right w:val="none" w:sz="0" w:space="0" w:color="auto"/>
      </w:divBdr>
    </w:div>
    <w:div w:id="485051891">
      <w:bodyDiv w:val="1"/>
      <w:marLeft w:val="0"/>
      <w:marRight w:val="0"/>
      <w:marTop w:val="0"/>
      <w:marBottom w:val="0"/>
      <w:divBdr>
        <w:top w:val="none" w:sz="0" w:space="0" w:color="auto"/>
        <w:left w:val="none" w:sz="0" w:space="0" w:color="auto"/>
        <w:bottom w:val="none" w:sz="0" w:space="0" w:color="auto"/>
        <w:right w:val="none" w:sz="0" w:space="0" w:color="auto"/>
      </w:divBdr>
    </w:div>
    <w:div w:id="782269017">
      <w:bodyDiv w:val="1"/>
      <w:marLeft w:val="0"/>
      <w:marRight w:val="0"/>
      <w:marTop w:val="0"/>
      <w:marBottom w:val="0"/>
      <w:divBdr>
        <w:top w:val="none" w:sz="0" w:space="0" w:color="auto"/>
        <w:left w:val="none" w:sz="0" w:space="0" w:color="auto"/>
        <w:bottom w:val="none" w:sz="0" w:space="0" w:color="auto"/>
        <w:right w:val="none" w:sz="0" w:space="0" w:color="auto"/>
      </w:divBdr>
    </w:div>
    <w:div w:id="1080761651">
      <w:bodyDiv w:val="1"/>
      <w:marLeft w:val="0"/>
      <w:marRight w:val="0"/>
      <w:marTop w:val="0"/>
      <w:marBottom w:val="0"/>
      <w:divBdr>
        <w:top w:val="none" w:sz="0" w:space="0" w:color="auto"/>
        <w:left w:val="none" w:sz="0" w:space="0" w:color="auto"/>
        <w:bottom w:val="none" w:sz="0" w:space="0" w:color="auto"/>
        <w:right w:val="none" w:sz="0" w:space="0" w:color="auto"/>
      </w:divBdr>
    </w:div>
    <w:div w:id="1089696143">
      <w:bodyDiv w:val="1"/>
      <w:marLeft w:val="0"/>
      <w:marRight w:val="0"/>
      <w:marTop w:val="0"/>
      <w:marBottom w:val="0"/>
      <w:divBdr>
        <w:top w:val="none" w:sz="0" w:space="0" w:color="auto"/>
        <w:left w:val="none" w:sz="0" w:space="0" w:color="auto"/>
        <w:bottom w:val="none" w:sz="0" w:space="0" w:color="auto"/>
        <w:right w:val="none" w:sz="0" w:space="0" w:color="auto"/>
      </w:divBdr>
    </w:div>
    <w:div w:id="1102191504">
      <w:bodyDiv w:val="1"/>
      <w:marLeft w:val="0"/>
      <w:marRight w:val="0"/>
      <w:marTop w:val="0"/>
      <w:marBottom w:val="0"/>
      <w:divBdr>
        <w:top w:val="none" w:sz="0" w:space="0" w:color="auto"/>
        <w:left w:val="none" w:sz="0" w:space="0" w:color="auto"/>
        <w:bottom w:val="none" w:sz="0" w:space="0" w:color="auto"/>
        <w:right w:val="none" w:sz="0" w:space="0" w:color="auto"/>
      </w:divBdr>
    </w:div>
    <w:div w:id="1182276415">
      <w:bodyDiv w:val="1"/>
      <w:marLeft w:val="0"/>
      <w:marRight w:val="0"/>
      <w:marTop w:val="0"/>
      <w:marBottom w:val="0"/>
      <w:divBdr>
        <w:top w:val="none" w:sz="0" w:space="0" w:color="auto"/>
        <w:left w:val="none" w:sz="0" w:space="0" w:color="auto"/>
        <w:bottom w:val="none" w:sz="0" w:space="0" w:color="auto"/>
        <w:right w:val="none" w:sz="0" w:space="0" w:color="auto"/>
      </w:divBdr>
    </w:div>
    <w:div w:id="1361395661">
      <w:bodyDiv w:val="1"/>
      <w:marLeft w:val="0"/>
      <w:marRight w:val="0"/>
      <w:marTop w:val="0"/>
      <w:marBottom w:val="0"/>
      <w:divBdr>
        <w:top w:val="none" w:sz="0" w:space="0" w:color="auto"/>
        <w:left w:val="none" w:sz="0" w:space="0" w:color="auto"/>
        <w:bottom w:val="none" w:sz="0" w:space="0" w:color="auto"/>
        <w:right w:val="none" w:sz="0" w:space="0" w:color="auto"/>
      </w:divBdr>
    </w:div>
    <w:div w:id="1491828498">
      <w:bodyDiv w:val="1"/>
      <w:marLeft w:val="0"/>
      <w:marRight w:val="0"/>
      <w:marTop w:val="0"/>
      <w:marBottom w:val="0"/>
      <w:divBdr>
        <w:top w:val="none" w:sz="0" w:space="0" w:color="auto"/>
        <w:left w:val="none" w:sz="0" w:space="0" w:color="auto"/>
        <w:bottom w:val="none" w:sz="0" w:space="0" w:color="auto"/>
        <w:right w:val="none" w:sz="0" w:space="0" w:color="auto"/>
      </w:divBdr>
    </w:div>
    <w:div w:id="1526752313">
      <w:bodyDiv w:val="1"/>
      <w:marLeft w:val="0"/>
      <w:marRight w:val="0"/>
      <w:marTop w:val="0"/>
      <w:marBottom w:val="0"/>
      <w:divBdr>
        <w:top w:val="none" w:sz="0" w:space="0" w:color="auto"/>
        <w:left w:val="none" w:sz="0" w:space="0" w:color="auto"/>
        <w:bottom w:val="none" w:sz="0" w:space="0" w:color="auto"/>
        <w:right w:val="none" w:sz="0" w:space="0" w:color="auto"/>
      </w:divBdr>
    </w:div>
    <w:div w:id="159635709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868828147">
      <w:bodyDiv w:val="1"/>
      <w:marLeft w:val="0"/>
      <w:marRight w:val="0"/>
      <w:marTop w:val="0"/>
      <w:marBottom w:val="0"/>
      <w:divBdr>
        <w:top w:val="none" w:sz="0" w:space="0" w:color="auto"/>
        <w:left w:val="none" w:sz="0" w:space="0" w:color="auto"/>
        <w:bottom w:val="none" w:sz="0" w:space="0" w:color="auto"/>
        <w:right w:val="none" w:sz="0" w:space="0" w:color="auto"/>
      </w:divBdr>
    </w:div>
    <w:div w:id="1985313680">
      <w:bodyDiv w:val="1"/>
      <w:marLeft w:val="0"/>
      <w:marRight w:val="0"/>
      <w:marTop w:val="0"/>
      <w:marBottom w:val="0"/>
      <w:divBdr>
        <w:top w:val="none" w:sz="0" w:space="0" w:color="auto"/>
        <w:left w:val="none" w:sz="0" w:space="0" w:color="auto"/>
        <w:bottom w:val="none" w:sz="0" w:space="0" w:color="auto"/>
        <w:right w:val="none" w:sz="0" w:space="0" w:color="auto"/>
      </w:divBdr>
    </w:div>
    <w:div w:id="20600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ebannier@pouget-consultants.fr" TargetMode="External"/><Relationship Id="rId3" Type="http://schemas.openxmlformats.org/officeDocument/2006/relationships/settings" Target="settings.xml"/><Relationship Id="rId7" Type="http://schemas.openxmlformats.org/officeDocument/2006/relationships/hyperlink" Target="https://www.afpac.org/Dossier-Afpac-La-Pompe-a-chaleur-Des-solutions-disponibles-en-habitat-collectif_a102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GONNOT</dc:creator>
  <cp:keywords/>
  <dc:description/>
  <cp:lastModifiedBy>Delphine GONNOT</cp:lastModifiedBy>
  <cp:revision>4</cp:revision>
  <cp:lastPrinted>2023-11-09T09:41:00Z</cp:lastPrinted>
  <dcterms:created xsi:type="dcterms:W3CDTF">2024-03-12T13:36:00Z</dcterms:created>
  <dcterms:modified xsi:type="dcterms:W3CDTF">2024-03-12T14:48:00Z</dcterms:modified>
</cp:coreProperties>
</file>